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1" w:type="dxa"/>
        <w:tblLayout w:type="fixed"/>
        <w:tblCellMar>
          <w:top w:w="55" w:type="dxa"/>
          <w:left w:w="55" w:type="dxa"/>
          <w:bottom w:w="55" w:type="dxa"/>
          <w:right w:w="55" w:type="dxa"/>
        </w:tblCellMar>
        <w:tblLook w:val="04A0" w:firstRow="1" w:lastRow="0" w:firstColumn="1" w:lastColumn="0" w:noHBand="0" w:noVBand="1"/>
      </w:tblPr>
      <w:tblGrid>
        <w:gridCol w:w="1397"/>
        <w:gridCol w:w="5730"/>
        <w:gridCol w:w="1920"/>
      </w:tblGrid>
      <w:tr w:rsidR="000462A9" w:rsidRPr="003D3D34" w14:paraId="76AE6F6C" w14:textId="77777777" w:rsidTr="0055498C">
        <w:trPr>
          <w:trHeight w:val="450"/>
        </w:trPr>
        <w:tc>
          <w:tcPr>
            <w:tcW w:w="1397" w:type="dxa"/>
            <w:vMerge w:val="restart"/>
            <w:tcBorders>
              <w:top w:val="single" w:sz="2" w:space="0" w:color="000000"/>
              <w:left w:val="single" w:sz="2" w:space="0" w:color="000000"/>
              <w:bottom w:val="single" w:sz="2" w:space="0" w:color="000000"/>
              <w:right w:val="nil"/>
            </w:tcBorders>
          </w:tcPr>
          <w:p w14:paraId="19204586" w14:textId="77777777" w:rsidR="000462A9" w:rsidRPr="003D3D34" w:rsidRDefault="000462A9" w:rsidP="0055498C">
            <w:pPr>
              <w:pStyle w:val="Zawartotabeli"/>
              <w:snapToGrid w:val="0"/>
              <w:spacing w:line="276" w:lineRule="auto"/>
              <w:jc w:val="center"/>
              <w:rPr>
                <w:rFonts w:cs="Times New Roman"/>
              </w:rPr>
            </w:pPr>
          </w:p>
          <w:p w14:paraId="0617F748" w14:textId="77777777" w:rsidR="000462A9" w:rsidRPr="003D3D34" w:rsidRDefault="000462A9" w:rsidP="0055498C">
            <w:pPr>
              <w:pStyle w:val="Zawartotabeli"/>
              <w:spacing w:line="276" w:lineRule="auto"/>
              <w:jc w:val="center"/>
              <w:rPr>
                <w:rFonts w:cs="Times New Roman"/>
              </w:rPr>
            </w:pPr>
            <w:r w:rsidRPr="003D3D34">
              <w:rPr>
                <w:rFonts w:cs="Times New Roman"/>
              </w:rPr>
              <w:t xml:space="preserve">Urząd Gminy </w:t>
            </w:r>
          </w:p>
          <w:p w14:paraId="60763136" w14:textId="77777777" w:rsidR="000462A9" w:rsidRPr="003D3D34" w:rsidRDefault="000462A9" w:rsidP="0055498C">
            <w:pPr>
              <w:pStyle w:val="Zawartotabeli"/>
              <w:spacing w:line="276" w:lineRule="auto"/>
              <w:jc w:val="center"/>
              <w:rPr>
                <w:rFonts w:cs="Times New Roman"/>
              </w:rPr>
            </w:pPr>
            <w:r w:rsidRPr="003D3D34">
              <w:rPr>
                <w:rFonts w:cs="Times New Roman"/>
              </w:rPr>
              <w:t>Nowosolna</w:t>
            </w:r>
          </w:p>
        </w:tc>
        <w:tc>
          <w:tcPr>
            <w:tcW w:w="5730" w:type="dxa"/>
            <w:vMerge w:val="restart"/>
            <w:tcBorders>
              <w:top w:val="single" w:sz="2" w:space="0" w:color="000000"/>
              <w:left w:val="single" w:sz="2" w:space="0" w:color="000000"/>
              <w:bottom w:val="single" w:sz="2" w:space="0" w:color="000000"/>
              <w:right w:val="nil"/>
            </w:tcBorders>
          </w:tcPr>
          <w:p w14:paraId="314ADD54" w14:textId="77777777" w:rsidR="000462A9" w:rsidRPr="003D3D34" w:rsidRDefault="000462A9" w:rsidP="0055498C">
            <w:pPr>
              <w:spacing w:line="251" w:lineRule="atLeast"/>
              <w:jc w:val="center"/>
              <w:rPr>
                <w:rFonts w:ascii="Times New Roman" w:hAnsi="Times New Roman"/>
                <w:b/>
                <w:bCs/>
                <w:color w:val="000000"/>
                <w:lang w:eastAsia="ar-SA"/>
              </w:rPr>
            </w:pPr>
          </w:p>
          <w:p w14:paraId="2019AAE5" w14:textId="4A5C424D" w:rsidR="00BE1C0F" w:rsidRPr="003D3D34" w:rsidRDefault="000462A9" w:rsidP="00BE1C0F">
            <w:pPr>
              <w:spacing w:line="251" w:lineRule="atLeast"/>
              <w:jc w:val="center"/>
              <w:rPr>
                <w:rFonts w:ascii="Times New Roman" w:hAnsi="Times New Roman"/>
                <w:b/>
                <w:bCs/>
                <w:color w:val="000000"/>
                <w:lang w:eastAsia="ar-SA"/>
              </w:rPr>
            </w:pPr>
            <w:r w:rsidRPr="003D3D34">
              <w:rPr>
                <w:rFonts w:ascii="Times New Roman" w:hAnsi="Times New Roman"/>
                <w:b/>
                <w:bCs/>
                <w:color w:val="000000"/>
                <w:lang w:eastAsia="ar-SA"/>
              </w:rPr>
              <w:t xml:space="preserve">Udostępnienie </w:t>
            </w:r>
            <w:r w:rsidR="00B83844">
              <w:rPr>
                <w:rFonts w:ascii="Times New Roman" w:hAnsi="Times New Roman"/>
                <w:b/>
                <w:bCs/>
                <w:color w:val="000000"/>
                <w:lang w:eastAsia="ar-SA"/>
              </w:rPr>
              <w:t xml:space="preserve">jednostkowych </w:t>
            </w:r>
            <w:r w:rsidRPr="003D3D34">
              <w:rPr>
                <w:rFonts w:ascii="Times New Roman" w:hAnsi="Times New Roman"/>
                <w:b/>
                <w:bCs/>
                <w:color w:val="000000"/>
                <w:lang w:eastAsia="ar-SA"/>
              </w:rPr>
              <w:t xml:space="preserve">danych osobowych </w:t>
            </w:r>
            <w:r w:rsidR="00BE1C0F">
              <w:rPr>
                <w:rFonts w:ascii="Times New Roman" w:hAnsi="Times New Roman"/>
                <w:b/>
                <w:bCs/>
                <w:color w:val="000000"/>
                <w:lang w:eastAsia="ar-SA"/>
              </w:rPr>
              <w:t>z bazy PESEL</w:t>
            </w:r>
            <w:r w:rsidR="00EE355A">
              <w:rPr>
                <w:rFonts w:ascii="Times New Roman" w:hAnsi="Times New Roman"/>
                <w:b/>
                <w:bCs/>
                <w:color w:val="000000"/>
                <w:lang w:eastAsia="ar-SA"/>
              </w:rPr>
              <w:t xml:space="preserve"> lub rejestru mieszkańców gminy</w:t>
            </w:r>
          </w:p>
        </w:tc>
        <w:tc>
          <w:tcPr>
            <w:tcW w:w="1920" w:type="dxa"/>
            <w:tcBorders>
              <w:top w:val="single" w:sz="2" w:space="0" w:color="000000"/>
              <w:left w:val="single" w:sz="2" w:space="0" w:color="000000"/>
              <w:bottom w:val="single" w:sz="2" w:space="0" w:color="000000"/>
              <w:right w:val="single" w:sz="2" w:space="0" w:color="000000"/>
            </w:tcBorders>
            <w:hideMark/>
          </w:tcPr>
          <w:p w14:paraId="13BDE2B1" w14:textId="4646CF42" w:rsidR="000462A9" w:rsidRPr="003D3D34" w:rsidRDefault="000462A9" w:rsidP="0055498C">
            <w:pPr>
              <w:pStyle w:val="Zawartotabeli"/>
              <w:snapToGrid w:val="0"/>
              <w:spacing w:line="276" w:lineRule="auto"/>
              <w:jc w:val="center"/>
              <w:rPr>
                <w:rFonts w:cs="Times New Roman"/>
              </w:rPr>
            </w:pPr>
            <w:r w:rsidRPr="003D3D34">
              <w:rPr>
                <w:rFonts w:cs="Times New Roman"/>
              </w:rPr>
              <w:t xml:space="preserve">Edycja nr </w:t>
            </w:r>
            <w:r>
              <w:rPr>
                <w:rFonts w:cs="Times New Roman"/>
              </w:rPr>
              <w:t>4</w:t>
            </w:r>
          </w:p>
        </w:tc>
      </w:tr>
      <w:tr w:rsidR="000462A9" w:rsidRPr="003D3D34" w14:paraId="28D89E37" w14:textId="77777777" w:rsidTr="0055498C">
        <w:tc>
          <w:tcPr>
            <w:tcW w:w="1397" w:type="dxa"/>
            <w:vMerge/>
            <w:tcBorders>
              <w:top w:val="single" w:sz="2" w:space="0" w:color="000000"/>
              <w:left w:val="single" w:sz="2" w:space="0" w:color="000000"/>
              <w:bottom w:val="single" w:sz="2" w:space="0" w:color="000000"/>
              <w:right w:val="nil"/>
            </w:tcBorders>
            <w:vAlign w:val="center"/>
            <w:hideMark/>
          </w:tcPr>
          <w:p w14:paraId="1CF57B3F" w14:textId="77777777" w:rsidR="000462A9" w:rsidRPr="003D3D34" w:rsidRDefault="000462A9" w:rsidP="0055498C">
            <w:pPr>
              <w:spacing w:line="276" w:lineRule="auto"/>
              <w:rPr>
                <w:rFonts w:ascii="Times New Roman" w:eastAsia="Times New Roman" w:hAnsi="Times New Roman"/>
                <w:sz w:val="24"/>
                <w:szCs w:val="24"/>
                <w:lang w:eastAsia="ne-NP" w:bidi="ne-NP"/>
              </w:rPr>
            </w:pPr>
          </w:p>
        </w:tc>
        <w:tc>
          <w:tcPr>
            <w:tcW w:w="5730" w:type="dxa"/>
            <w:vMerge/>
            <w:tcBorders>
              <w:top w:val="single" w:sz="2" w:space="0" w:color="000000"/>
              <w:left w:val="single" w:sz="2" w:space="0" w:color="000000"/>
              <w:bottom w:val="single" w:sz="2" w:space="0" w:color="000000"/>
              <w:right w:val="nil"/>
            </w:tcBorders>
            <w:vAlign w:val="center"/>
            <w:hideMark/>
          </w:tcPr>
          <w:p w14:paraId="1085E0DA" w14:textId="77777777" w:rsidR="000462A9" w:rsidRPr="003D3D34" w:rsidRDefault="000462A9" w:rsidP="0055498C">
            <w:pPr>
              <w:spacing w:line="276" w:lineRule="auto"/>
              <w:rPr>
                <w:rFonts w:ascii="Times New Roman" w:eastAsia="Times New Roman" w:hAnsi="Times New Roman"/>
                <w:b/>
                <w:bCs/>
                <w:color w:val="000000"/>
                <w:sz w:val="24"/>
                <w:szCs w:val="24"/>
                <w:lang w:eastAsia="ar-SA"/>
              </w:rPr>
            </w:pPr>
          </w:p>
        </w:tc>
        <w:tc>
          <w:tcPr>
            <w:tcW w:w="1920" w:type="dxa"/>
            <w:tcBorders>
              <w:top w:val="nil"/>
              <w:left w:val="single" w:sz="2" w:space="0" w:color="000000"/>
              <w:bottom w:val="single" w:sz="2" w:space="0" w:color="000000"/>
              <w:right w:val="single" w:sz="2" w:space="0" w:color="000000"/>
            </w:tcBorders>
            <w:hideMark/>
          </w:tcPr>
          <w:p w14:paraId="7B0FD12D" w14:textId="32428AA5" w:rsidR="000462A9" w:rsidRPr="003D3D34" w:rsidRDefault="000462A9" w:rsidP="0055498C">
            <w:pPr>
              <w:pStyle w:val="Zawartotabeli"/>
              <w:snapToGrid w:val="0"/>
              <w:spacing w:line="276" w:lineRule="auto"/>
              <w:jc w:val="center"/>
              <w:rPr>
                <w:rFonts w:cs="Times New Roman"/>
              </w:rPr>
            </w:pPr>
            <w:r w:rsidRPr="003D3D34">
              <w:rPr>
                <w:rFonts w:cs="Times New Roman"/>
              </w:rPr>
              <w:t xml:space="preserve">Z dnia </w:t>
            </w:r>
            <w:r>
              <w:rPr>
                <w:rFonts w:cs="Times New Roman"/>
              </w:rPr>
              <w:t>16 sierpnia 2021r</w:t>
            </w:r>
            <w:r w:rsidRPr="003D3D34">
              <w:rPr>
                <w:rFonts w:cs="Times New Roman"/>
              </w:rPr>
              <w:t xml:space="preserve">. </w:t>
            </w:r>
          </w:p>
        </w:tc>
      </w:tr>
    </w:tbl>
    <w:p w14:paraId="193A68FE" w14:textId="77777777" w:rsidR="000462A9" w:rsidRPr="003D3D34" w:rsidRDefault="000462A9" w:rsidP="000462A9">
      <w:pPr>
        <w:spacing w:line="251" w:lineRule="atLeast"/>
        <w:jc w:val="center"/>
        <w:rPr>
          <w:rFonts w:ascii="Times New Roman" w:eastAsia="Times New Roman" w:hAnsi="Times New Roman"/>
          <w:b/>
          <w:bCs/>
          <w:color w:val="000000"/>
          <w:lang w:eastAsia="ar-SA"/>
        </w:rPr>
      </w:pPr>
    </w:p>
    <w:p w14:paraId="70DA96E9" w14:textId="77777777" w:rsidR="000462A9" w:rsidRPr="00851E22" w:rsidRDefault="000462A9" w:rsidP="000462A9">
      <w:pPr>
        <w:spacing w:after="0" w:line="240" w:lineRule="auto"/>
        <w:jc w:val="both"/>
        <w:rPr>
          <w:rFonts w:ascii="Times New Roman" w:eastAsia="Times New Roman" w:hAnsi="Times New Roman"/>
          <w:sz w:val="28"/>
          <w:szCs w:val="28"/>
        </w:rPr>
      </w:pPr>
      <w:r w:rsidRPr="00851E22">
        <w:rPr>
          <w:rFonts w:ascii="Times New Roman" w:eastAsia="Times New Roman" w:hAnsi="Times New Roman"/>
          <w:b/>
          <w:bCs/>
          <w:sz w:val="28"/>
          <w:szCs w:val="28"/>
        </w:rPr>
        <w:t>Podstawa prawna:</w:t>
      </w:r>
    </w:p>
    <w:p w14:paraId="0CDC6328" w14:textId="508573FB" w:rsidR="000462A9" w:rsidRPr="008C3E18" w:rsidRDefault="000462A9" w:rsidP="000462A9">
      <w:pPr>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8C3E18">
        <w:rPr>
          <w:rFonts w:ascii="Times New Roman" w:eastAsia="Times New Roman" w:hAnsi="Times New Roman"/>
          <w:sz w:val="24"/>
          <w:szCs w:val="24"/>
          <w:lang w:eastAsia="pl-PL"/>
        </w:rPr>
        <w:t>ustawa z dnia 24 września 2010 r. o e</w:t>
      </w:r>
      <w:r>
        <w:rPr>
          <w:rFonts w:ascii="Times New Roman" w:eastAsia="Times New Roman" w:hAnsi="Times New Roman"/>
          <w:sz w:val="24"/>
          <w:szCs w:val="24"/>
          <w:lang w:eastAsia="pl-PL"/>
        </w:rPr>
        <w:t>widencji ludności (</w:t>
      </w:r>
      <w:proofErr w:type="spellStart"/>
      <w:r>
        <w:rPr>
          <w:rFonts w:ascii="Times New Roman" w:eastAsia="Times New Roman" w:hAnsi="Times New Roman"/>
          <w:sz w:val="24"/>
          <w:szCs w:val="24"/>
          <w:lang w:eastAsia="pl-PL"/>
        </w:rPr>
        <w:t>t.j</w:t>
      </w:r>
      <w:proofErr w:type="spellEnd"/>
      <w:r>
        <w:rPr>
          <w:rFonts w:ascii="Times New Roman" w:eastAsia="Times New Roman" w:hAnsi="Times New Roman"/>
          <w:sz w:val="24"/>
          <w:szCs w:val="24"/>
          <w:lang w:eastAsia="pl-PL"/>
        </w:rPr>
        <w:t>. Dz.U. z 20</w:t>
      </w:r>
      <w:r w:rsidR="00B83844">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r., poz. </w:t>
      </w:r>
      <w:r w:rsidR="00B83844">
        <w:rPr>
          <w:rFonts w:ascii="Times New Roman" w:eastAsia="Times New Roman" w:hAnsi="Times New Roman"/>
          <w:sz w:val="24"/>
          <w:szCs w:val="24"/>
          <w:lang w:eastAsia="pl-PL"/>
        </w:rPr>
        <w:t>510</w:t>
      </w:r>
      <w:r w:rsidRPr="008C3E18">
        <w:rPr>
          <w:rFonts w:ascii="Times New Roman" w:eastAsia="Times New Roman" w:hAnsi="Times New Roman"/>
          <w:sz w:val="24"/>
          <w:szCs w:val="24"/>
          <w:lang w:eastAsia="pl-PL"/>
        </w:rPr>
        <w:t>),</w:t>
      </w:r>
    </w:p>
    <w:p w14:paraId="7DD4A867" w14:textId="0BF47B94" w:rsidR="000462A9" w:rsidRPr="008C3E18" w:rsidRDefault="000462A9" w:rsidP="000462A9">
      <w:pPr>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8C3E18">
        <w:rPr>
          <w:rFonts w:ascii="Times New Roman" w:eastAsia="Times New Roman" w:hAnsi="Times New Roman"/>
          <w:sz w:val="24"/>
          <w:szCs w:val="24"/>
          <w:lang w:eastAsia="pl-PL"/>
        </w:rPr>
        <w:t xml:space="preserve">ustawa z dnia 14 czerwca 1960 r. Kodeks postępowania </w:t>
      </w:r>
      <w:r>
        <w:rPr>
          <w:rFonts w:ascii="Times New Roman" w:eastAsia="Times New Roman" w:hAnsi="Times New Roman"/>
          <w:sz w:val="24"/>
          <w:szCs w:val="24"/>
          <w:lang w:eastAsia="pl-PL"/>
        </w:rPr>
        <w:t>administracyjnego (Dz. U. z 20</w:t>
      </w:r>
      <w:r w:rsidR="00B83844">
        <w:rPr>
          <w:rFonts w:ascii="Times New Roman" w:eastAsia="Times New Roman" w:hAnsi="Times New Roman"/>
          <w:sz w:val="24"/>
          <w:szCs w:val="24"/>
          <w:lang w:eastAsia="pl-PL"/>
        </w:rPr>
        <w:t>21</w:t>
      </w:r>
      <w:r>
        <w:rPr>
          <w:rFonts w:ascii="Times New Roman" w:eastAsia="Times New Roman" w:hAnsi="Times New Roman"/>
          <w:sz w:val="24"/>
          <w:szCs w:val="24"/>
          <w:lang w:eastAsia="pl-PL"/>
        </w:rPr>
        <w:t xml:space="preserve"> r., poz.</w:t>
      </w:r>
      <w:r w:rsidR="00B83844">
        <w:rPr>
          <w:rFonts w:ascii="Times New Roman" w:eastAsia="Times New Roman" w:hAnsi="Times New Roman"/>
          <w:sz w:val="24"/>
          <w:szCs w:val="24"/>
          <w:lang w:eastAsia="pl-PL"/>
        </w:rPr>
        <w:t>735</w:t>
      </w:r>
      <w:r w:rsidRPr="008C3E18">
        <w:rPr>
          <w:rFonts w:ascii="Times New Roman" w:eastAsia="Times New Roman" w:hAnsi="Times New Roman"/>
          <w:sz w:val="24"/>
          <w:szCs w:val="24"/>
          <w:lang w:eastAsia="pl-PL"/>
        </w:rPr>
        <w:t>),</w:t>
      </w:r>
    </w:p>
    <w:p w14:paraId="624D846E" w14:textId="77777777" w:rsidR="000462A9" w:rsidRPr="008C3E18" w:rsidRDefault="000462A9" w:rsidP="000462A9">
      <w:pPr>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8C3E18">
        <w:rPr>
          <w:rFonts w:ascii="Times New Roman" w:eastAsia="Times New Roman" w:hAnsi="Times New Roman"/>
          <w:sz w:val="24"/>
          <w:szCs w:val="24"/>
          <w:lang w:eastAsia="pl-PL"/>
        </w:rPr>
        <w:t>ustawa z dnia 17 lutego 2005 r. o informatyzacji działalności podmiotów realizujących zadania publiczne (</w:t>
      </w:r>
      <w:proofErr w:type="spellStart"/>
      <w:r>
        <w:rPr>
          <w:rFonts w:ascii="Times New Roman" w:eastAsia="Times New Roman" w:hAnsi="Times New Roman"/>
          <w:sz w:val="24"/>
          <w:szCs w:val="24"/>
          <w:lang w:eastAsia="pl-PL"/>
        </w:rPr>
        <w:t>t.j</w:t>
      </w:r>
      <w:proofErr w:type="spellEnd"/>
      <w:r>
        <w:rPr>
          <w:rFonts w:ascii="Times New Roman" w:eastAsia="Times New Roman" w:hAnsi="Times New Roman"/>
          <w:sz w:val="24"/>
          <w:szCs w:val="24"/>
          <w:lang w:eastAsia="pl-PL"/>
        </w:rPr>
        <w:t xml:space="preserve">. </w:t>
      </w:r>
      <w:r w:rsidRPr="008C3E18">
        <w:rPr>
          <w:rFonts w:ascii="Times New Roman" w:eastAsia="Times New Roman" w:hAnsi="Times New Roman"/>
          <w:sz w:val="24"/>
          <w:szCs w:val="24"/>
          <w:lang w:eastAsia="pl-PL"/>
        </w:rPr>
        <w:t>Dz. U.</w:t>
      </w:r>
      <w:r>
        <w:rPr>
          <w:rFonts w:ascii="Times New Roman" w:eastAsia="Times New Roman" w:hAnsi="Times New Roman"/>
          <w:sz w:val="24"/>
          <w:szCs w:val="24"/>
          <w:lang w:eastAsia="pl-PL"/>
        </w:rPr>
        <w:t xml:space="preserve"> z 2017 r., poz. 570</w:t>
      </w:r>
      <w:r w:rsidRPr="008C3E18">
        <w:rPr>
          <w:rFonts w:ascii="Times New Roman" w:eastAsia="Times New Roman" w:hAnsi="Times New Roman"/>
          <w:sz w:val="24"/>
          <w:szCs w:val="24"/>
          <w:lang w:eastAsia="pl-PL"/>
        </w:rPr>
        <w:t>),</w:t>
      </w:r>
    </w:p>
    <w:p w14:paraId="52DE6A78" w14:textId="77777777" w:rsidR="000462A9" w:rsidRPr="003C247C" w:rsidRDefault="000462A9" w:rsidP="000462A9">
      <w:pPr>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rozporządzenie Ministra Cyfryzacji z dnia 21 grudnia 2018 r</w:t>
      </w:r>
      <w:r w:rsidRPr="00EA3D04">
        <w:rPr>
          <w:rFonts w:ascii="Times New Roman" w:hAnsi="Times New Roman"/>
          <w:sz w:val="24"/>
          <w:szCs w:val="24"/>
        </w:rPr>
        <w:t xml:space="preserve"> w sprawie określenia wzorów wniosków o udostępnienie danych z rejestru mieszkańców i rejestru PESEL oraz trybu uzyskiwania zgody na udostępnienie danych po wykazaniu interesu faktycznego (Dz. U. 2018r. poz. 2523)</w:t>
      </w:r>
      <w:r>
        <w:rPr>
          <w:rFonts w:ascii="Times New Roman" w:hAnsi="Times New Roman"/>
          <w:sz w:val="24"/>
          <w:szCs w:val="24"/>
        </w:rPr>
        <w:t>,</w:t>
      </w:r>
    </w:p>
    <w:p w14:paraId="63B83028" w14:textId="46266D40" w:rsidR="000462A9" w:rsidRPr="00EA3D04" w:rsidRDefault="000462A9" w:rsidP="000462A9">
      <w:pPr>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ustawa z dnia 16 listopada 2006 r. o opłacie skarbowej (Dz. U. z 20</w:t>
      </w:r>
      <w:r w:rsidR="00B83844">
        <w:rPr>
          <w:rFonts w:ascii="Times New Roman" w:eastAsia="Times New Roman" w:hAnsi="Times New Roman"/>
          <w:sz w:val="24"/>
          <w:szCs w:val="24"/>
          <w:lang w:eastAsia="pl-PL"/>
        </w:rPr>
        <w:t>20</w:t>
      </w:r>
      <w:r w:rsidRPr="00EA3D04">
        <w:rPr>
          <w:rFonts w:ascii="Times New Roman" w:eastAsia="Times New Roman" w:hAnsi="Times New Roman"/>
          <w:sz w:val="24"/>
          <w:szCs w:val="24"/>
          <w:lang w:eastAsia="pl-PL"/>
        </w:rPr>
        <w:t xml:space="preserve"> r., poz. </w:t>
      </w:r>
      <w:r w:rsidR="00B83844">
        <w:rPr>
          <w:rFonts w:ascii="Times New Roman" w:eastAsia="Times New Roman" w:hAnsi="Times New Roman"/>
          <w:sz w:val="24"/>
          <w:szCs w:val="24"/>
          <w:lang w:eastAsia="pl-PL"/>
        </w:rPr>
        <w:t>1546</w:t>
      </w:r>
      <w:r>
        <w:rPr>
          <w:rFonts w:ascii="Times New Roman" w:eastAsia="Times New Roman" w:hAnsi="Times New Roman"/>
          <w:sz w:val="24"/>
          <w:szCs w:val="24"/>
          <w:lang w:eastAsia="pl-PL"/>
        </w:rPr>
        <w:t>),</w:t>
      </w:r>
    </w:p>
    <w:p w14:paraId="598ED6F1" w14:textId="77777777" w:rsidR="000462A9" w:rsidRPr="00085449" w:rsidRDefault="000462A9" w:rsidP="000462A9">
      <w:pPr>
        <w:numPr>
          <w:ilvl w:val="0"/>
          <w:numId w:val="1"/>
        </w:numPr>
        <w:spacing w:before="100" w:beforeAutospacing="1" w:after="100" w:afterAutospacing="1" w:line="240" w:lineRule="auto"/>
        <w:jc w:val="both"/>
        <w:rPr>
          <w:rFonts w:ascii="Times New Roman" w:eastAsia="Times New Roman" w:hAnsi="Times New Roman"/>
          <w:sz w:val="24"/>
          <w:szCs w:val="24"/>
          <w:lang w:eastAsia="pl-PL"/>
        </w:rPr>
      </w:pPr>
      <w:r w:rsidRPr="00085449">
        <w:rPr>
          <w:rFonts w:ascii="Times New Roman" w:hAnsi="Times New Roman"/>
          <w:sz w:val="24"/>
          <w:szCs w:val="24"/>
        </w:rPr>
        <w:t>Rozporządzenie Rady Ministrów z dnia 22 grudnia 2017r. w sprawie opłat za udostępnienie danych z rejestrów mieszkańców oraz rejestru PESEL (</w:t>
      </w:r>
      <w:r w:rsidRPr="00085449">
        <w:rPr>
          <w:rStyle w:val="ng-binding"/>
          <w:rFonts w:ascii="Times New Roman" w:hAnsi="Times New Roman"/>
          <w:sz w:val="24"/>
          <w:szCs w:val="24"/>
        </w:rPr>
        <w:t>Dz.U. z 2017r. poz. 2482)</w:t>
      </w:r>
      <w:r>
        <w:rPr>
          <w:rStyle w:val="ng-binding"/>
          <w:rFonts w:ascii="Times New Roman" w:hAnsi="Times New Roman"/>
          <w:sz w:val="24"/>
          <w:szCs w:val="24"/>
        </w:rPr>
        <w:t>.</w:t>
      </w:r>
    </w:p>
    <w:p w14:paraId="57D8C6FF" w14:textId="77777777" w:rsidR="000462A9" w:rsidRDefault="000462A9" w:rsidP="000462A9">
      <w:pPr>
        <w:spacing w:after="0" w:line="100" w:lineRule="atLeast"/>
        <w:jc w:val="both"/>
        <w:rPr>
          <w:rFonts w:ascii="Times New Roman" w:hAnsi="Times New Roman"/>
          <w:sz w:val="20"/>
          <w:szCs w:val="20"/>
        </w:rPr>
      </w:pPr>
      <w:r w:rsidRPr="00851E22">
        <w:rPr>
          <w:rFonts w:ascii="Times New Roman" w:eastAsia="Times New Roman" w:hAnsi="Times New Roman"/>
          <w:b/>
          <w:bCs/>
          <w:sz w:val="28"/>
          <w:szCs w:val="28"/>
        </w:rPr>
        <w:t>Miejsce załatwienia sprawy</w:t>
      </w:r>
      <w:r>
        <w:rPr>
          <w:rFonts w:ascii="Times New Roman" w:eastAsia="Times New Roman" w:hAnsi="Times New Roman"/>
          <w:sz w:val="20"/>
          <w:szCs w:val="20"/>
        </w:rPr>
        <w:t>:</w:t>
      </w:r>
    </w:p>
    <w:p w14:paraId="3257109C" w14:textId="77777777" w:rsidR="000462A9" w:rsidRDefault="000462A9" w:rsidP="000462A9">
      <w:pPr>
        <w:spacing w:after="0" w:line="100" w:lineRule="atLeast"/>
        <w:jc w:val="both"/>
        <w:rPr>
          <w:rFonts w:ascii="Times New Roman" w:eastAsia="Times New Roman" w:hAnsi="Times New Roman"/>
          <w:sz w:val="20"/>
          <w:szCs w:val="20"/>
        </w:rPr>
      </w:pPr>
      <w:r>
        <w:rPr>
          <w:rFonts w:ascii="Times New Roman" w:eastAsia="Times New Roman" w:hAnsi="Times New Roman"/>
          <w:sz w:val="20"/>
          <w:szCs w:val="20"/>
        </w:rPr>
        <w:t xml:space="preserve">Łódź, Rynek Nowosolna 1, ewidencja ludności, dowody osobiste II piętro pokój nr. 16, tel. (42) 616-45-26. </w:t>
      </w:r>
    </w:p>
    <w:p w14:paraId="512500B2" w14:textId="77777777" w:rsidR="000462A9" w:rsidRPr="003D3D34" w:rsidRDefault="000462A9" w:rsidP="000462A9">
      <w:pPr>
        <w:spacing w:line="251" w:lineRule="atLeast"/>
        <w:jc w:val="both"/>
        <w:rPr>
          <w:rFonts w:ascii="Times New Roman" w:hAnsi="Times New Roman"/>
          <w:b/>
          <w:bCs/>
          <w:color w:val="000000"/>
          <w:sz w:val="20"/>
          <w:szCs w:val="20"/>
          <w:lang w:eastAsia="ar-SA"/>
        </w:rPr>
      </w:pPr>
    </w:p>
    <w:p w14:paraId="13988635" w14:textId="77777777" w:rsidR="000462A9" w:rsidRPr="006F1036" w:rsidRDefault="000462A9" w:rsidP="000462A9">
      <w:pPr>
        <w:pStyle w:val="Nagwek3"/>
        <w:rPr>
          <w:rFonts w:ascii="Times New Roman" w:hAnsi="Times New Roman"/>
          <w:sz w:val="27"/>
          <w:szCs w:val="27"/>
          <w:lang w:eastAsia="pl-PL"/>
        </w:rPr>
      </w:pPr>
      <w:r w:rsidRPr="006F1036">
        <w:rPr>
          <w:rFonts w:ascii="Times New Roman" w:hAnsi="Times New Roman"/>
          <w:sz w:val="27"/>
          <w:szCs w:val="27"/>
          <w:lang w:eastAsia="pl-PL"/>
        </w:rPr>
        <w:t>Sposób załatwienia sprawy</w:t>
      </w:r>
    </w:p>
    <w:p w14:paraId="5D61550D" w14:textId="17C99596" w:rsidR="000462A9" w:rsidRDefault="000462A9" w:rsidP="000462A9">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 xml:space="preserve">Na pisemny wniosek wnioskodawcy udostępnia </w:t>
      </w:r>
      <w:r>
        <w:rPr>
          <w:rFonts w:ascii="Times New Roman" w:eastAsia="Times New Roman" w:hAnsi="Times New Roman"/>
          <w:sz w:val="24"/>
          <w:szCs w:val="24"/>
          <w:lang w:eastAsia="pl-PL"/>
        </w:rPr>
        <w:t xml:space="preserve">się </w:t>
      </w:r>
      <w:r w:rsidRPr="006F1036">
        <w:rPr>
          <w:rFonts w:ascii="Times New Roman" w:eastAsia="Times New Roman" w:hAnsi="Times New Roman"/>
          <w:sz w:val="24"/>
          <w:szCs w:val="24"/>
          <w:lang w:eastAsia="pl-PL"/>
        </w:rPr>
        <w:t>dane jednostkowe z rejestru mieszkańców</w:t>
      </w:r>
      <w:r w:rsidR="00B83844">
        <w:rPr>
          <w:rFonts w:ascii="Times New Roman" w:eastAsia="Times New Roman" w:hAnsi="Times New Roman"/>
          <w:sz w:val="24"/>
          <w:szCs w:val="24"/>
          <w:lang w:eastAsia="pl-PL"/>
        </w:rPr>
        <w:t xml:space="preserve"> oraz rejestru PESEL.</w:t>
      </w:r>
      <w:r w:rsidRPr="006F1036">
        <w:rPr>
          <w:rFonts w:ascii="Times New Roman" w:eastAsia="Times New Roman" w:hAnsi="Times New Roman"/>
          <w:sz w:val="24"/>
          <w:szCs w:val="24"/>
          <w:lang w:eastAsia="pl-PL"/>
        </w:rPr>
        <w:t xml:space="preserve"> </w:t>
      </w:r>
    </w:p>
    <w:p w14:paraId="7A08BD98" w14:textId="77777777" w:rsidR="000462A9" w:rsidRPr="006F1036" w:rsidRDefault="000462A9" w:rsidP="000462A9">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Wnioskodawcą może być osoba fizyczna, osoba prawna, a także jednostka organizacyjna nieposiadająca osobowości prawnej. Wniosek może zostać złożony w formie pisemnej lub w formie dokumentu elektronicznego przy wykorzystaniu środków komunikacji elektronicznej (podpisany kwalifikowanym podpisem elektron</w:t>
      </w:r>
      <w:r>
        <w:rPr>
          <w:rFonts w:ascii="Times New Roman" w:eastAsia="Times New Roman" w:hAnsi="Times New Roman"/>
          <w:sz w:val="24"/>
          <w:szCs w:val="24"/>
          <w:lang w:eastAsia="pl-PL"/>
        </w:rPr>
        <w:t>icznym bądź profilem zaufanym).</w:t>
      </w:r>
      <w:r w:rsidRPr="006F1036">
        <w:rPr>
          <w:rFonts w:ascii="Times New Roman" w:eastAsia="Times New Roman" w:hAnsi="Times New Roman"/>
          <w:sz w:val="24"/>
          <w:szCs w:val="24"/>
          <w:lang w:eastAsia="pl-PL"/>
        </w:rPr>
        <w:t xml:space="preserve"> Dane są przekazywane, w zależności od żądania wnioskodawcy, w formie pisemnej lub w formie dokumentu elektronicznego przy wykorzystaniu środków komunikacji elektronicznej, na zasadach określonych w ustawie z dnia 17 lutego 2005 r. o informatyzacji działalności podmiotów realizujących zadania publiczne.</w:t>
      </w:r>
    </w:p>
    <w:p w14:paraId="3C5E634F" w14:textId="77777777" w:rsidR="000462A9" w:rsidRPr="006F1036" w:rsidRDefault="000462A9" w:rsidP="000462A9">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Przez dane jednostkowe rozumie się informacje uzyskane z rejestru dotyczące jednej osoby lub imion i nazwisk wszystkich osób zameldowanych pod jednym adresem.</w:t>
      </w:r>
    </w:p>
    <w:p w14:paraId="0C14A78B" w14:textId="77777777" w:rsidR="000462A9" w:rsidRPr="006F1036" w:rsidRDefault="000462A9" w:rsidP="000462A9">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Wniosek może zostać złożony za pośrednictwem pełnomocnika. Pełnomocnictwo powinno być udzielone na piśmie, w formie dokumentu elektronicznego lub zgłoszone do protokołu. Pełnomocnictwo w formie dokumentu elektronicznego powinno być uwierzytelnione kwalifikowanym podpisem elektronicznym bądź profilem zaufanym.</w:t>
      </w:r>
    </w:p>
    <w:p w14:paraId="0F6C2ACF" w14:textId="77777777" w:rsidR="000462A9" w:rsidRPr="006F1036" w:rsidRDefault="000462A9" w:rsidP="000462A9">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Organ gminy udostępnia dane podmiotom, jeżeli:</w:t>
      </w:r>
    </w:p>
    <w:p w14:paraId="43B2FA3A" w14:textId="77777777" w:rsidR="000462A9" w:rsidRPr="006F1036" w:rsidRDefault="000462A9" w:rsidP="000462A9">
      <w:pPr>
        <w:numPr>
          <w:ilvl w:val="1"/>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 xml:space="preserve">Dane te są niezbędne do realizacji ich ustawowych zadań. Do podmiotów tych zaliczają się; organy administracji publicznej, sądy i prokuratura, Policja, Straż Graniczna, Służba Więzienna, Służba Kontrwywiadu Wojskowego, Służba Wywiadu Wojskowego, Służba Celna, Żandarmeria Wojskowa, Agencja </w:t>
      </w:r>
      <w:r w:rsidRPr="006F1036">
        <w:rPr>
          <w:rFonts w:ascii="Times New Roman" w:eastAsia="Times New Roman" w:hAnsi="Times New Roman"/>
          <w:sz w:val="24"/>
          <w:szCs w:val="24"/>
          <w:lang w:eastAsia="pl-PL"/>
        </w:rPr>
        <w:lastRenderedPageBreak/>
        <w:t>Bezpieczeństwa Wewnętrznego, Agencja Wywiadu, Biuro Ochrony Rządu, Centralne Biuro Antykorupcyjne, Szef Krajowego Centrum Informacji Kryminalnych, organy wyborcze i straże gminne (miejskie), komornicy sądowi (w zakresie niezbędnym do prowadzenia postępowania egzekucyjnego), organy kontroli skarbowej i wywiad skarbowy, państwowe i samorządowe jednostki organizacyjne, inne podmioty - w zakresie niezbędnym do realizacji zadań publicznych określonych w odrębnych przepisach oraz Polski Czerwony Krzyż, w zakresie danych osób poszukiwanych.</w:t>
      </w:r>
      <w:r>
        <w:rPr>
          <w:rFonts w:ascii="Times New Roman" w:eastAsia="Times New Roman" w:hAnsi="Times New Roman"/>
          <w:sz w:val="24"/>
          <w:szCs w:val="24"/>
          <w:lang w:eastAsia="pl-PL"/>
        </w:rPr>
        <w:t>*</w:t>
      </w:r>
    </w:p>
    <w:p w14:paraId="4436514C" w14:textId="77777777" w:rsidR="000462A9" w:rsidRPr="006F1036" w:rsidRDefault="000462A9" w:rsidP="000462A9">
      <w:pPr>
        <w:numPr>
          <w:ilvl w:val="1"/>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Wykażą interes prawny w pozyskaniu danych - wnioskodawca jest zobowiązany wskazać przepis prawa materialnego, na podstawie którego jest uprawniony do żądania udostępnienia danych osobowych innej osoby lub załączyć dokumenty potwierdzające ten interes, np. przysługujące wierzytelności, postępowanie sądowe w sprawie nabycia spadku, zniesienie współwłasności.</w:t>
      </w:r>
    </w:p>
    <w:p w14:paraId="72D99C5C" w14:textId="77777777" w:rsidR="000462A9" w:rsidRDefault="000462A9" w:rsidP="000462A9">
      <w:pPr>
        <w:numPr>
          <w:ilvl w:val="0"/>
          <w:numId w:val="2"/>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Udostępnione dane mogą być wykorzystane tylko i wyłącznie w celu wskazanym we wniosku.</w:t>
      </w:r>
    </w:p>
    <w:p w14:paraId="215067C4" w14:textId="77777777" w:rsidR="000462A9" w:rsidRPr="006F1036" w:rsidRDefault="000462A9" w:rsidP="000462A9">
      <w:pPr>
        <w:spacing w:before="100" w:beforeAutospacing="1" w:after="100" w:afterAutospacing="1" w:line="240" w:lineRule="auto"/>
        <w:ind w:left="720"/>
        <w:rPr>
          <w:rFonts w:ascii="Times New Roman" w:eastAsia="Times New Roman" w:hAnsi="Times New Roman"/>
          <w:sz w:val="24"/>
          <w:szCs w:val="24"/>
          <w:lang w:eastAsia="pl-PL"/>
        </w:rPr>
      </w:pPr>
      <w:r>
        <w:rPr>
          <w:rFonts w:ascii="Times New Roman" w:eastAsia="Times New Roman" w:hAnsi="Times New Roman"/>
          <w:sz w:val="24"/>
          <w:szCs w:val="24"/>
          <w:lang w:eastAsia="pl-PL"/>
        </w:rPr>
        <w:t>*Tylko podmioty publiczne nieposiadające pozytywnej decyzji teletransmisyjnej są uprawnione do uzyskiwania danych z rejestru mieszkańców bez ograniczeń do końca kwietnia 2019r. (od maja – limit 300 danych jednostkowych).</w:t>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r>
      <w:r>
        <w:rPr>
          <w:rFonts w:ascii="Times New Roman" w:eastAsia="Times New Roman" w:hAnsi="Times New Roman"/>
          <w:sz w:val="24"/>
          <w:szCs w:val="24"/>
          <w:lang w:eastAsia="pl-PL"/>
        </w:rPr>
        <w:tab/>
        <w:t>W sytuacji, gdy podmiot publiczny posiada decyzję teletransmisyjną organ zobowiązany jest do wydania postanowienia o odmowie wszczęcia postępowania, gdyż nie ma podstaw prawnych do realizacji wniosku.</w:t>
      </w:r>
    </w:p>
    <w:p w14:paraId="24A984E0" w14:textId="50686F32" w:rsidR="000462A9" w:rsidRDefault="000462A9" w:rsidP="000462A9">
      <w:pPr>
        <w:spacing w:before="100" w:beforeAutospacing="1" w:after="100" w:afterAutospacing="1" w:line="240" w:lineRule="auto"/>
        <w:outlineLvl w:val="2"/>
        <w:rPr>
          <w:rFonts w:ascii="Times New Roman" w:eastAsia="Times New Roman" w:hAnsi="Times New Roman"/>
          <w:b/>
          <w:bCs/>
          <w:sz w:val="27"/>
          <w:szCs w:val="27"/>
          <w:lang w:eastAsia="pl-PL"/>
        </w:rPr>
      </w:pPr>
      <w:r w:rsidRPr="006F1036">
        <w:rPr>
          <w:rFonts w:ascii="Times New Roman" w:eastAsia="Times New Roman" w:hAnsi="Times New Roman"/>
          <w:b/>
          <w:bCs/>
          <w:sz w:val="27"/>
          <w:szCs w:val="27"/>
          <w:lang w:eastAsia="pl-PL"/>
        </w:rPr>
        <w:t>Informacje uzupełniające</w:t>
      </w:r>
    </w:p>
    <w:p w14:paraId="09F3769F" w14:textId="5410D91F" w:rsidR="007721B5" w:rsidRPr="007721B5" w:rsidRDefault="00EE355A" w:rsidP="000462A9">
      <w:pPr>
        <w:spacing w:before="100" w:beforeAutospacing="1" w:after="100" w:afterAutospacing="1" w:line="240" w:lineRule="auto"/>
        <w:outlineLvl w:val="2"/>
        <w:rPr>
          <w:rFonts w:ascii="Times New Roman" w:eastAsia="Times New Roman" w:hAnsi="Times New Roman"/>
          <w:b/>
          <w:bCs/>
          <w:sz w:val="27"/>
          <w:szCs w:val="27"/>
          <w:u w:val="single"/>
          <w:lang w:eastAsia="pl-PL"/>
        </w:rPr>
      </w:pPr>
      <w:r>
        <w:rPr>
          <w:rFonts w:ascii="Times New Roman" w:eastAsia="Times New Roman" w:hAnsi="Times New Roman"/>
          <w:b/>
          <w:bCs/>
          <w:sz w:val="27"/>
          <w:szCs w:val="27"/>
          <w:lang w:eastAsia="pl-PL"/>
        </w:rPr>
        <w:t>WNIOSKODAWCĄ MOŻE BYĆ OSOBA INNA, NIŻ TA, KTÓREJ DANE DOTYCZĄ,</w:t>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Pr>
          <w:rFonts w:ascii="Times New Roman" w:eastAsia="Times New Roman" w:hAnsi="Times New Roman"/>
          <w:b/>
          <w:bCs/>
          <w:sz w:val="27"/>
          <w:szCs w:val="27"/>
          <w:lang w:eastAsia="pl-PL"/>
        </w:rPr>
        <w:tab/>
      </w:r>
      <w:r w:rsidR="007721B5" w:rsidRPr="007721B5">
        <w:rPr>
          <w:rFonts w:ascii="Times New Roman" w:eastAsia="Times New Roman" w:hAnsi="Times New Roman"/>
          <w:b/>
          <w:bCs/>
          <w:sz w:val="27"/>
          <w:szCs w:val="27"/>
          <w:u w:val="single"/>
          <w:lang w:eastAsia="pl-PL"/>
        </w:rPr>
        <w:t xml:space="preserve">Wnioskodawca może żądać udostępnienia </w:t>
      </w:r>
      <w:r w:rsidR="007721B5" w:rsidRPr="007721B5">
        <w:rPr>
          <w:rFonts w:ascii="Times New Roman" w:eastAsia="Times New Roman" w:hAnsi="Times New Roman"/>
          <w:b/>
          <w:bCs/>
          <w:sz w:val="27"/>
          <w:szCs w:val="27"/>
          <w:u w:val="single"/>
          <w:lang w:eastAsia="pl-PL"/>
        </w:rPr>
        <w:tab/>
        <w:t>informacji lokalowej z rejestru mieszkańców gminy Nowosolna o ilości lub braku osób zameldowanych w nieruchomości znajdującej się na terenie Gminy Nowosolna</w:t>
      </w:r>
    </w:p>
    <w:p w14:paraId="165B4178" w14:textId="77777777" w:rsidR="000462A9" w:rsidRPr="006F1036" w:rsidRDefault="000462A9" w:rsidP="000462A9">
      <w:pPr>
        <w:numPr>
          <w:ilvl w:val="0"/>
          <w:numId w:val="3"/>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Uzyskanie danych musi wynikać z interesu prawnego.</w:t>
      </w:r>
    </w:p>
    <w:p w14:paraId="45EB65FF" w14:textId="77777777" w:rsidR="000462A9" w:rsidRPr="006F1036" w:rsidRDefault="000462A9" w:rsidP="000462A9">
      <w:pPr>
        <w:numPr>
          <w:ilvl w:val="0"/>
          <w:numId w:val="3"/>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W przypadku powoływania się na interes prawny wnioskodawca jest zobowiązany wskazać przepis prawa materialnego, na podstawie którego jest uprawniony do żądania udostępnienia danych osobowych innej osoby lub załączyć dokumenty potwierdzające ten interes.</w:t>
      </w:r>
    </w:p>
    <w:p w14:paraId="72B4B376" w14:textId="2B7C666C" w:rsidR="000462A9" w:rsidRDefault="000462A9" w:rsidP="000462A9">
      <w:pPr>
        <w:numPr>
          <w:ilvl w:val="0"/>
          <w:numId w:val="3"/>
        </w:numPr>
        <w:spacing w:before="100" w:beforeAutospacing="1" w:after="100" w:afterAutospacing="1" w:line="240" w:lineRule="auto"/>
        <w:rPr>
          <w:rFonts w:ascii="Times New Roman" w:eastAsia="Times New Roman" w:hAnsi="Times New Roman"/>
          <w:sz w:val="24"/>
          <w:szCs w:val="24"/>
          <w:lang w:eastAsia="pl-PL"/>
        </w:rPr>
      </w:pPr>
      <w:r w:rsidRPr="006F1036">
        <w:rPr>
          <w:rFonts w:ascii="Times New Roman" w:eastAsia="Times New Roman" w:hAnsi="Times New Roman"/>
          <w:sz w:val="24"/>
          <w:szCs w:val="24"/>
          <w:lang w:eastAsia="pl-PL"/>
        </w:rPr>
        <w:t>Przykładowe sytuacje wskazujące na posiadanie interesu prawnego to: przysługujące wierzytelności, postępowanie sądowe – wezwanie z sądu (do wglądu).</w:t>
      </w:r>
    </w:p>
    <w:p w14:paraId="5E720949" w14:textId="1F56E82A" w:rsidR="00B83844" w:rsidRDefault="00B83844" w:rsidP="000462A9">
      <w:pPr>
        <w:numPr>
          <w:ilvl w:val="0"/>
          <w:numId w:val="3"/>
        </w:num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Jeżeli uzyskanie danych wynika z interesu faktycznego wymagana jest zgoda osoby, której dane dotyczą.</w:t>
      </w:r>
    </w:p>
    <w:p w14:paraId="1955AF2E" w14:textId="77777777" w:rsidR="000462A9" w:rsidRPr="00EA3D04" w:rsidRDefault="000462A9" w:rsidP="000462A9">
      <w:pPr>
        <w:spacing w:before="100" w:beforeAutospacing="1" w:after="100" w:afterAutospacing="1" w:line="240" w:lineRule="auto"/>
        <w:rPr>
          <w:rFonts w:ascii="Times New Roman" w:eastAsia="Times New Roman" w:hAnsi="Times New Roman"/>
          <w:b/>
          <w:sz w:val="24"/>
          <w:szCs w:val="24"/>
          <w:lang w:eastAsia="pl-PL"/>
        </w:rPr>
      </w:pPr>
      <w:r w:rsidRPr="00EA3D04">
        <w:rPr>
          <w:rFonts w:ascii="Times New Roman" w:eastAsia="Times New Roman" w:hAnsi="Times New Roman"/>
          <w:b/>
          <w:sz w:val="24"/>
          <w:szCs w:val="24"/>
          <w:lang w:eastAsia="pl-PL"/>
        </w:rPr>
        <w:t>OPŁATY</w:t>
      </w:r>
    </w:p>
    <w:tbl>
      <w:tblPr>
        <w:tblW w:w="2500" w:type="pct"/>
        <w:tblCellSpacing w:w="15" w:type="dxa"/>
        <w:tblCellMar>
          <w:top w:w="15" w:type="dxa"/>
          <w:left w:w="15" w:type="dxa"/>
          <w:bottom w:w="15" w:type="dxa"/>
          <w:right w:w="15" w:type="dxa"/>
        </w:tblCellMar>
        <w:tblLook w:val="04A0" w:firstRow="1" w:lastRow="0" w:firstColumn="1" w:lastColumn="0" w:noHBand="0" w:noVBand="1"/>
      </w:tblPr>
      <w:tblGrid>
        <w:gridCol w:w="3837"/>
        <w:gridCol w:w="699"/>
      </w:tblGrid>
      <w:tr w:rsidR="000462A9" w:rsidRPr="00EA3D04" w14:paraId="72C7712F" w14:textId="77777777" w:rsidTr="0055498C">
        <w:trPr>
          <w:tblCellSpacing w:w="15" w:type="dxa"/>
        </w:trPr>
        <w:tc>
          <w:tcPr>
            <w:tcW w:w="0" w:type="auto"/>
            <w:vAlign w:val="center"/>
            <w:hideMark/>
          </w:tcPr>
          <w:p w14:paraId="072E2E30" w14:textId="77777777" w:rsidR="000462A9" w:rsidRPr="00EA3D04" w:rsidRDefault="000462A9" w:rsidP="0055498C">
            <w:pPr>
              <w:spacing w:after="0" w:line="240" w:lineRule="auto"/>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Skarbowa za pełnomocnictwo</w:t>
            </w:r>
          </w:p>
        </w:tc>
        <w:tc>
          <w:tcPr>
            <w:tcW w:w="0" w:type="auto"/>
            <w:vAlign w:val="center"/>
            <w:hideMark/>
          </w:tcPr>
          <w:p w14:paraId="11AE9CF1" w14:textId="77777777" w:rsidR="000462A9" w:rsidRPr="00EA3D04" w:rsidRDefault="000462A9" w:rsidP="0055498C">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17</w:t>
            </w:r>
            <w:r w:rsidRPr="00EA3D04">
              <w:rPr>
                <w:rFonts w:ascii="Times New Roman" w:eastAsia="Times New Roman" w:hAnsi="Times New Roman"/>
                <w:sz w:val="24"/>
                <w:szCs w:val="24"/>
                <w:lang w:eastAsia="pl-PL"/>
              </w:rPr>
              <w:t>zł</w:t>
            </w:r>
          </w:p>
        </w:tc>
      </w:tr>
      <w:tr w:rsidR="000462A9" w:rsidRPr="00EA3D04" w14:paraId="456BA4B3" w14:textId="77777777" w:rsidTr="0055498C">
        <w:trPr>
          <w:tblCellSpacing w:w="15" w:type="dxa"/>
        </w:trPr>
        <w:tc>
          <w:tcPr>
            <w:tcW w:w="0" w:type="auto"/>
            <w:vAlign w:val="center"/>
            <w:hideMark/>
          </w:tcPr>
          <w:p w14:paraId="684E1BA5" w14:textId="77777777" w:rsidR="000462A9" w:rsidRPr="00EA3D04" w:rsidRDefault="000462A9" w:rsidP="0055498C">
            <w:pPr>
              <w:spacing w:after="0" w:line="240" w:lineRule="auto"/>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Udostępnienie danych</w:t>
            </w:r>
          </w:p>
        </w:tc>
        <w:tc>
          <w:tcPr>
            <w:tcW w:w="0" w:type="auto"/>
            <w:vAlign w:val="center"/>
            <w:hideMark/>
          </w:tcPr>
          <w:p w14:paraId="178787A6" w14:textId="77777777" w:rsidR="000462A9" w:rsidRPr="00EA3D04" w:rsidRDefault="000462A9" w:rsidP="0055498C">
            <w:pPr>
              <w:spacing w:after="0" w:line="240" w:lineRule="auto"/>
              <w:jc w:val="center"/>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31 zł</w:t>
            </w:r>
          </w:p>
        </w:tc>
      </w:tr>
    </w:tbl>
    <w:p w14:paraId="0DC438F8" w14:textId="77777777" w:rsidR="00B83844" w:rsidRDefault="000462A9" w:rsidP="000462A9">
      <w:pPr>
        <w:spacing w:before="100" w:beforeAutospacing="1" w:after="100" w:afterAutospacing="1"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Pr="00EA3D04">
        <w:rPr>
          <w:rFonts w:ascii="Times New Roman" w:eastAsia="Times New Roman" w:hAnsi="Times New Roman"/>
          <w:sz w:val="24"/>
          <w:szCs w:val="24"/>
          <w:lang w:eastAsia="pl-PL"/>
        </w:rPr>
        <w:t xml:space="preserve">Opłata skarbowa za </w:t>
      </w:r>
      <w:r>
        <w:rPr>
          <w:rFonts w:ascii="Times New Roman" w:eastAsia="Times New Roman" w:hAnsi="Times New Roman"/>
          <w:sz w:val="24"/>
          <w:szCs w:val="24"/>
          <w:lang w:eastAsia="pl-PL"/>
        </w:rPr>
        <w:t>udzielone pełnomocnictwo</w:t>
      </w:r>
      <w:r w:rsidRPr="00EA3D04">
        <w:rPr>
          <w:rFonts w:ascii="Times New Roman" w:eastAsia="Times New Roman" w:hAnsi="Times New Roman"/>
          <w:sz w:val="24"/>
          <w:szCs w:val="24"/>
          <w:lang w:eastAsia="pl-PL"/>
        </w:rPr>
        <w:t xml:space="preserve"> jest uiszczana przez pełnomocnika działającego w imieniu wnioskodawcy, za złożony dokument stwierdzający udzielenie </w:t>
      </w:r>
      <w:r w:rsidRPr="00EA3D04">
        <w:rPr>
          <w:rFonts w:ascii="Times New Roman" w:eastAsia="Times New Roman" w:hAnsi="Times New Roman"/>
          <w:sz w:val="24"/>
          <w:szCs w:val="24"/>
          <w:lang w:eastAsia="pl-PL"/>
        </w:rPr>
        <w:lastRenderedPageBreak/>
        <w:t>pełnomocnictwa lub prokury albo jego odpisu, wypisu lub kopii.</w:t>
      </w:r>
      <w:r w:rsidRPr="00EA3D04">
        <w:rPr>
          <w:rFonts w:ascii="Times New Roman" w:eastAsia="Times New Roman" w:hAnsi="Times New Roman"/>
          <w:sz w:val="24"/>
          <w:szCs w:val="24"/>
          <w:lang w:eastAsia="pl-PL"/>
        </w:rPr>
        <w:br/>
      </w:r>
      <w:r>
        <w:rPr>
          <w:rFonts w:ascii="Times New Roman" w:eastAsia="Times New Roman" w:hAnsi="Times New Roman"/>
          <w:sz w:val="24"/>
          <w:szCs w:val="24"/>
          <w:lang w:eastAsia="pl-PL"/>
        </w:rPr>
        <w:t xml:space="preserve">        </w:t>
      </w:r>
      <w:r w:rsidRPr="00EA3D04">
        <w:rPr>
          <w:rFonts w:ascii="Times New Roman" w:eastAsia="Times New Roman" w:hAnsi="Times New Roman"/>
          <w:sz w:val="24"/>
          <w:szCs w:val="24"/>
          <w:lang w:eastAsia="pl-PL"/>
        </w:rPr>
        <w:t>Zwolnieniu od opłaty skarbowej podlega dokument stwierdzający udzielenie pełnomocnictwa oraz jego odpis, wypis lub kopia</w:t>
      </w:r>
      <w:r>
        <w:rPr>
          <w:rFonts w:ascii="Times New Roman" w:eastAsia="Times New Roman" w:hAnsi="Times New Roman"/>
          <w:sz w:val="24"/>
          <w:szCs w:val="24"/>
          <w:lang w:eastAsia="pl-PL"/>
        </w:rPr>
        <w:t>,</w:t>
      </w:r>
      <w:r w:rsidRPr="00EA3D04">
        <w:rPr>
          <w:rFonts w:ascii="Times New Roman" w:eastAsia="Times New Roman" w:hAnsi="Times New Roman"/>
          <w:sz w:val="24"/>
          <w:szCs w:val="24"/>
          <w:lang w:eastAsia="pl-PL"/>
        </w:rPr>
        <w:t xml:space="preserve"> jeżeli pełnomocnictwo udzielane jest małżonkowi, wstępnemu, zstępnemu lub rodzeństwu.</w:t>
      </w:r>
    </w:p>
    <w:p w14:paraId="4D9A461C" w14:textId="647A95D9" w:rsidR="000462A9" w:rsidRPr="0069160C" w:rsidRDefault="000462A9" w:rsidP="000462A9">
      <w:pPr>
        <w:spacing w:before="100" w:beforeAutospacing="1" w:after="100" w:afterAutospacing="1" w:line="240" w:lineRule="auto"/>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br/>
      </w:r>
      <w:r w:rsidR="00B83844">
        <w:rPr>
          <w:rFonts w:ascii="Times New Roman" w:eastAsia="Times New Roman" w:hAnsi="Times New Roman"/>
          <w:sz w:val="24"/>
          <w:szCs w:val="24"/>
          <w:lang w:eastAsia="pl-PL"/>
        </w:rPr>
        <w:t>N</w:t>
      </w:r>
      <w:r w:rsidRPr="00EA3D04">
        <w:rPr>
          <w:rFonts w:ascii="Times New Roman" w:eastAsia="Times New Roman" w:hAnsi="Times New Roman"/>
          <w:sz w:val="24"/>
          <w:szCs w:val="24"/>
          <w:lang w:eastAsia="pl-PL"/>
        </w:rPr>
        <w:t>a podstawie art. 54 ustawy z dnia 24 września 2010 r. o ewidencji osoby i jednostki organizacyjne są zwolnione z opłat za udostępnienie danych z rejestru mieszkańców w przypadku udostępnienia danych niezbędnych do sporządzenia aktu poświadczenia dziedziczenia.</w:t>
      </w:r>
    </w:p>
    <w:p w14:paraId="32808D45" w14:textId="77777777" w:rsidR="000462A9" w:rsidRPr="003D3D34" w:rsidRDefault="000462A9" w:rsidP="000462A9">
      <w:pPr>
        <w:spacing w:line="251" w:lineRule="atLeast"/>
        <w:jc w:val="both"/>
        <w:rPr>
          <w:rFonts w:ascii="Times New Roman" w:hAnsi="Times New Roman"/>
          <w:b/>
          <w:bCs/>
          <w:color w:val="000000"/>
          <w:sz w:val="20"/>
          <w:szCs w:val="20"/>
          <w:lang w:eastAsia="ar-SA"/>
        </w:rPr>
      </w:pPr>
      <w:r w:rsidRPr="003D3D34">
        <w:rPr>
          <w:rFonts w:ascii="Times New Roman" w:hAnsi="Times New Roman"/>
          <w:b/>
          <w:bCs/>
          <w:color w:val="000000"/>
          <w:sz w:val="20"/>
          <w:szCs w:val="20"/>
          <w:lang w:eastAsia="ar-SA"/>
        </w:rPr>
        <w:t>Wymagane dokumenty: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0462A9" w:rsidRPr="00EA3D04" w14:paraId="22B5DE22" w14:textId="77777777" w:rsidTr="0055498C">
        <w:trPr>
          <w:tblCellSpacing w:w="15" w:type="dxa"/>
        </w:trPr>
        <w:tc>
          <w:tcPr>
            <w:tcW w:w="0" w:type="auto"/>
            <w:vAlign w:val="center"/>
            <w:hideMark/>
          </w:tcPr>
          <w:p w14:paraId="08B85587" w14:textId="77777777" w:rsidR="000462A9" w:rsidRPr="00EA3D04" w:rsidRDefault="000462A9" w:rsidP="0055498C">
            <w:pPr>
              <w:numPr>
                <w:ilvl w:val="0"/>
                <w:numId w:val="4"/>
              </w:numPr>
              <w:spacing w:before="100" w:beforeAutospacing="1" w:after="100" w:afterAutospacing="1" w:line="240" w:lineRule="auto"/>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Wniosek o udostępnienie danych jednostkowych z rejestru mieszkańców oraz rejestru PESEL</w:t>
            </w:r>
            <w:r>
              <w:rPr>
                <w:rFonts w:ascii="Times New Roman" w:eastAsia="Times New Roman" w:hAnsi="Times New Roman"/>
                <w:sz w:val="24"/>
                <w:szCs w:val="24"/>
                <w:lang w:eastAsia="pl-PL"/>
              </w:rPr>
              <w:t xml:space="preserve"> – formularz zgodny z rozporządzeniem z dnia 21 grudnia 2018 roku</w:t>
            </w:r>
          </w:p>
        </w:tc>
      </w:tr>
      <w:tr w:rsidR="000462A9" w:rsidRPr="00EA3D04" w14:paraId="3DA755FB" w14:textId="77777777" w:rsidTr="0055498C">
        <w:trPr>
          <w:tblCellSpacing w:w="15" w:type="dxa"/>
        </w:trPr>
        <w:tc>
          <w:tcPr>
            <w:tcW w:w="0" w:type="auto"/>
            <w:vAlign w:val="center"/>
            <w:hideMark/>
          </w:tcPr>
          <w:p w14:paraId="361779C5" w14:textId="77777777" w:rsidR="000462A9" w:rsidRPr="00EA3D04" w:rsidRDefault="000462A9" w:rsidP="0055498C">
            <w:pPr>
              <w:numPr>
                <w:ilvl w:val="0"/>
                <w:numId w:val="5"/>
              </w:numPr>
              <w:spacing w:before="100" w:beforeAutospacing="1" w:after="100" w:afterAutospacing="1" w:line="240" w:lineRule="auto"/>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Potwierdzenie wpłaty na rachunek bankowy opłaty za udostępnienie danych z rejestru mieszkańców</w:t>
            </w:r>
          </w:p>
        </w:tc>
      </w:tr>
      <w:tr w:rsidR="000462A9" w:rsidRPr="00EA3D04" w14:paraId="54E54A3C" w14:textId="77777777" w:rsidTr="0055498C">
        <w:trPr>
          <w:tblCellSpacing w:w="15" w:type="dxa"/>
        </w:trPr>
        <w:tc>
          <w:tcPr>
            <w:tcW w:w="0" w:type="auto"/>
            <w:vAlign w:val="center"/>
            <w:hideMark/>
          </w:tcPr>
          <w:p w14:paraId="579A48BC" w14:textId="77777777" w:rsidR="000462A9" w:rsidRPr="00EA3D04" w:rsidRDefault="000462A9" w:rsidP="0055498C">
            <w:pPr>
              <w:numPr>
                <w:ilvl w:val="0"/>
                <w:numId w:val="6"/>
              </w:numPr>
              <w:spacing w:before="100" w:beforeAutospacing="1" w:after="100" w:afterAutospacing="1" w:line="240" w:lineRule="auto"/>
              <w:rPr>
                <w:rFonts w:ascii="Times New Roman" w:eastAsia="Times New Roman" w:hAnsi="Times New Roman"/>
                <w:sz w:val="24"/>
                <w:szCs w:val="24"/>
                <w:lang w:eastAsia="pl-PL"/>
              </w:rPr>
            </w:pPr>
            <w:r w:rsidRPr="00EA3D04">
              <w:rPr>
                <w:rFonts w:ascii="Times New Roman" w:eastAsia="Times New Roman" w:hAnsi="Times New Roman"/>
                <w:sz w:val="24"/>
                <w:szCs w:val="24"/>
                <w:lang w:eastAsia="pl-PL"/>
              </w:rPr>
              <w:t>Potwierdzenie wpłaty na rachunek bankowy opłaty skarbowej za złożenie dokumentu stwierdzającego udzielenie pełnomocnictwa - w przypadku, gdy wnioskodawca działa przez pełnomocnika</w:t>
            </w:r>
          </w:p>
        </w:tc>
      </w:tr>
    </w:tbl>
    <w:p w14:paraId="7B5DB5E3" w14:textId="77777777" w:rsidR="000462A9" w:rsidRPr="00A221A6" w:rsidRDefault="000462A9" w:rsidP="000462A9">
      <w:pPr>
        <w:spacing w:line="251" w:lineRule="atLeast"/>
        <w:jc w:val="both"/>
        <w:rPr>
          <w:rFonts w:ascii="Times New Roman" w:hAnsi="Times New Roman"/>
          <w:b/>
          <w:bCs/>
          <w:color w:val="000000"/>
          <w:sz w:val="24"/>
          <w:szCs w:val="24"/>
          <w:lang w:eastAsia="ar-SA"/>
        </w:rPr>
      </w:pPr>
      <w:r w:rsidRPr="00A221A6">
        <w:rPr>
          <w:rFonts w:ascii="Times New Roman" w:hAnsi="Times New Roman"/>
          <w:b/>
          <w:bCs/>
          <w:color w:val="000000"/>
          <w:sz w:val="24"/>
          <w:szCs w:val="24"/>
          <w:lang w:eastAsia="ar-SA"/>
        </w:rPr>
        <w:t>Czas załatwienia sprawy:</w:t>
      </w:r>
    </w:p>
    <w:p w14:paraId="5517BA5A" w14:textId="77777777" w:rsidR="000462A9" w:rsidRPr="00A221A6" w:rsidRDefault="000462A9" w:rsidP="000462A9">
      <w:pPr>
        <w:spacing w:line="251" w:lineRule="atLeast"/>
        <w:jc w:val="both"/>
        <w:rPr>
          <w:rFonts w:ascii="Times New Roman" w:hAnsi="Times New Roman"/>
          <w:color w:val="000000"/>
          <w:sz w:val="24"/>
          <w:szCs w:val="24"/>
          <w:lang w:eastAsia="ar-SA"/>
        </w:rPr>
      </w:pPr>
      <w:r w:rsidRPr="00A221A6">
        <w:rPr>
          <w:rFonts w:ascii="Times New Roman" w:hAnsi="Times New Roman"/>
          <w:color w:val="000000"/>
          <w:sz w:val="24"/>
          <w:szCs w:val="24"/>
          <w:lang w:eastAsia="ar-SA"/>
        </w:rPr>
        <w:t>- udostępnienie danych – do 30 dni</w:t>
      </w:r>
    </w:p>
    <w:p w14:paraId="787A89A4" w14:textId="77777777" w:rsidR="000462A9" w:rsidRPr="00A221A6" w:rsidRDefault="000462A9" w:rsidP="000462A9">
      <w:pPr>
        <w:spacing w:line="251" w:lineRule="atLeast"/>
        <w:jc w:val="both"/>
        <w:rPr>
          <w:rFonts w:ascii="Times New Roman" w:hAnsi="Times New Roman"/>
          <w:sz w:val="24"/>
          <w:szCs w:val="24"/>
          <w:lang w:eastAsia="ne-NP" w:bidi="ne-NP"/>
        </w:rPr>
      </w:pPr>
    </w:p>
    <w:p w14:paraId="0FFF6153" w14:textId="77777777" w:rsidR="000462A9" w:rsidRPr="003D3D34" w:rsidRDefault="000462A9" w:rsidP="000462A9">
      <w:pPr>
        <w:rPr>
          <w:rFonts w:ascii="Times New Roman" w:hAnsi="Times New Roman"/>
          <w:sz w:val="24"/>
          <w:szCs w:val="24"/>
        </w:rPr>
      </w:pPr>
    </w:p>
    <w:p w14:paraId="534573A9" w14:textId="77777777" w:rsidR="000462A9" w:rsidRPr="003D3D34" w:rsidRDefault="000462A9" w:rsidP="000462A9">
      <w:pPr>
        <w:rPr>
          <w:rFonts w:ascii="Times New Roman" w:hAnsi="Times New Roman"/>
        </w:rPr>
      </w:pPr>
    </w:p>
    <w:p w14:paraId="73F9AAC7" w14:textId="77777777" w:rsidR="001F19C5" w:rsidRDefault="001F19C5"/>
    <w:sectPr w:rsidR="001F1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007C"/>
    <w:multiLevelType w:val="multilevel"/>
    <w:tmpl w:val="9F20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0E6FD5"/>
    <w:multiLevelType w:val="multilevel"/>
    <w:tmpl w:val="205E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B0100"/>
    <w:multiLevelType w:val="multilevel"/>
    <w:tmpl w:val="FB64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E049C"/>
    <w:multiLevelType w:val="multilevel"/>
    <w:tmpl w:val="0E484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D4617E"/>
    <w:multiLevelType w:val="multilevel"/>
    <w:tmpl w:val="D61CAA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77A2E"/>
    <w:multiLevelType w:val="multilevel"/>
    <w:tmpl w:val="0C5E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2A9"/>
    <w:rsid w:val="000462A9"/>
    <w:rsid w:val="001F19C5"/>
    <w:rsid w:val="007721B5"/>
    <w:rsid w:val="00B83844"/>
    <w:rsid w:val="00BE1C0F"/>
    <w:rsid w:val="00EE3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289E"/>
  <w15:chartTrackingRefBased/>
  <w15:docId w15:val="{DBB77DA1-C5BE-4AAD-B981-3360BFD1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62A9"/>
    <w:rPr>
      <w:rFonts w:ascii="Calibri" w:eastAsia="Calibri" w:hAnsi="Calibri" w:cs="Times New Roman"/>
    </w:rPr>
  </w:style>
  <w:style w:type="paragraph" w:styleId="Nagwek3">
    <w:name w:val="heading 3"/>
    <w:basedOn w:val="Normalny"/>
    <w:next w:val="Normalny"/>
    <w:link w:val="Nagwek3Znak"/>
    <w:uiPriority w:val="9"/>
    <w:semiHidden/>
    <w:unhideWhenUsed/>
    <w:qFormat/>
    <w:rsid w:val="000462A9"/>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0462A9"/>
    <w:rPr>
      <w:rFonts w:ascii="Calibri Light" w:eastAsia="Times New Roman" w:hAnsi="Calibri Light" w:cs="Times New Roman"/>
      <w:b/>
      <w:bCs/>
      <w:sz w:val="26"/>
      <w:szCs w:val="26"/>
    </w:rPr>
  </w:style>
  <w:style w:type="paragraph" w:customStyle="1" w:styleId="Zawartotabeli">
    <w:name w:val="Zawartość tabeli"/>
    <w:basedOn w:val="Normalny"/>
    <w:rsid w:val="000462A9"/>
    <w:pPr>
      <w:suppressLineNumbers/>
      <w:suppressAutoHyphens/>
      <w:spacing w:after="0" w:line="240" w:lineRule="auto"/>
    </w:pPr>
    <w:rPr>
      <w:rFonts w:ascii="Times New Roman" w:eastAsia="Times New Roman" w:hAnsi="Times New Roman" w:cs="Mangal"/>
      <w:sz w:val="24"/>
      <w:szCs w:val="24"/>
      <w:lang w:eastAsia="ne-NP" w:bidi="ne-NP"/>
    </w:rPr>
  </w:style>
  <w:style w:type="character" w:customStyle="1" w:styleId="ng-binding">
    <w:name w:val="ng-binding"/>
    <w:rsid w:val="00046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899</Words>
  <Characters>5394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Jakubowska vlan7</dc:creator>
  <cp:keywords/>
  <dc:description/>
  <cp:lastModifiedBy>Ewa Jakubowska vlan7</cp:lastModifiedBy>
  <cp:revision>2</cp:revision>
  <dcterms:created xsi:type="dcterms:W3CDTF">2021-08-12T11:28:00Z</dcterms:created>
  <dcterms:modified xsi:type="dcterms:W3CDTF">2021-08-13T08:59:00Z</dcterms:modified>
</cp:coreProperties>
</file>