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Nowosolna</w:t>
      </w:r>
    </w:p>
    <w:p w:rsidR="00575E92" w:rsidRDefault="000F4AE9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12</w:t>
      </w:r>
      <w:r w:rsidR="00575E92">
        <w:rPr>
          <w:b/>
          <w:sz w:val="32"/>
          <w:szCs w:val="32"/>
        </w:rPr>
        <w:t xml:space="preserve"> czerwca 2020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bookmarkEnd w:id="0"/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9B0431" w:rsidRPr="009B0431">
        <w:rPr>
          <w:sz w:val="28"/>
          <w:szCs w:val="28"/>
          <w:highlight w:val="yellow"/>
        </w:rPr>
        <w:t xml:space="preserve"> </w:t>
      </w:r>
      <w:r w:rsidR="009B0431" w:rsidRPr="00497687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3C3082">
        <w:rPr>
          <w:sz w:val="28"/>
          <w:szCs w:val="28"/>
        </w:rPr>
        <w:t>Wójt Gminy Nowosolna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28 czerwca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środowiskowa, Kalonka 47,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Lipiny 14, 92-701 Łódź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Wiączyń Dolny 18A, 92-701 Łódź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</w:t>
      </w:r>
      <w:r w:rsidR="003A1ADE" w:rsidRPr="007D16F7">
        <w:rPr>
          <w:sz w:val="30"/>
          <w:szCs w:val="30"/>
        </w:rPr>
        <w:lastRenderedPageBreak/>
        <w:t xml:space="preserve">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Nowosolna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Nowosolna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Piotr SZCZEŚNIAK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AE9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56C9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836F4-10A7-4021-917A-26F5B96E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cp:lastModifiedBy>Tatiana Jaworska-Wszelaka vlan7</cp:lastModifiedBy>
  <cp:revision>2</cp:revision>
  <cp:lastPrinted>2016-11-15T08:29:00Z</cp:lastPrinted>
  <dcterms:created xsi:type="dcterms:W3CDTF">2020-06-15T09:12:00Z</dcterms:created>
  <dcterms:modified xsi:type="dcterms:W3CDTF">2020-06-15T09:12:00Z</dcterms:modified>
</cp:coreProperties>
</file>